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Borders>
          <w:top w:val="single" w:sz="12" w:space="0" w:color="6293CD"/>
          <w:left w:val="outset" w:sz="2" w:space="0" w:color="auto"/>
          <w:bottom w:val="single" w:sz="12" w:space="0" w:color="6293C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664"/>
        <w:gridCol w:w="5556"/>
      </w:tblGrid>
      <w:tr w:rsidR="008E046B" w:rsidRPr="008C613E" w:rsidTr="00F535D1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7.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Пособие по временной нетрудоспособности в связи с несчастным случаем на производстве или профзаболеванием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 xml:space="preserve">За весь период временной нетрудоспособности до выздоровления или установления стойкой утраты профессиональной трудоспособности – в размере 100 % среднего заработка, исчисленного в соответствии с законодательством Российской Федерации о пособиях по временной нетрудоспособности (из заработка, на который начисляются страховые взносы). </w:t>
            </w:r>
            <w:proofErr w:type="gramStart"/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Максимальный размер пособия по временной  нетрудоспособности в связи с несчастным случаем на производстве и профессиональным заболеванием за полный календарный месяц не может превышать четырехкратный максимальный размер ежемесячной страховой выплаты, установленный в соответствии с п.12 ст.12 Федерального закона от 24.07.1998 г. №125 – ФЗ «Об обязательном социальном страховании от несчастных случаев на производстве и профессиональных заболеваний»</w:t>
            </w:r>
            <w:proofErr w:type="gramEnd"/>
          </w:p>
        </w:tc>
      </w:tr>
      <w:tr w:rsidR="008E046B" w:rsidRPr="008C613E" w:rsidTr="00F535D1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8.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Единовременная страховая выплата застрахованному лицу либо лицам, имеющим право на получение такой выплаты в случае его смерти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 xml:space="preserve">Определяется в соответствии со степенью утраты застрахованным профессиональной трудоспособности исходя из максимальной суммы, установленной федеральным законом о бюджете Фонда социального страхования Российской Федерации на очередной финансовый год. В местностях, где установлены районные коэффициенты, процентные надбавки к заработной плате, размер единовременной страховой выплаты, назначаемой </w:t>
            </w:r>
            <w:proofErr w:type="gramStart"/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застрахованному</w:t>
            </w:r>
            <w:proofErr w:type="gramEnd"/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 xml:space="preserve"> в зависимости от степени утраты им профессиональной трудоспособности, определяется с учетом этих коэффициентов и надбавок. Сумма, из которой исчисляется размер единовременной страховой выплаты застрахованному, в 2018 году составляет </w:t>
            </w:r>
            <w:r w:rsidRPr="008C613E">
              <w:rPr>
                <w:rFonts w:ascii="Tahoma" w:eastAsia="Times New Roman" w:hAnsi="Tahoma" w:cs="Tahoma"/>
                <w:b/>
                <w:bCs/>
                <w:color w:val="343434"/>
                <w:sz w:val="20"/>
                <w:szCs w:val="20"/>
                <w:lang w:eastAsia="ru-RU"/>
              </w:rPr>
              <w:t>96 368,45 руб.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В случае смерти застрахованного размер единовременной страховой выплаты составляет </w:t>
            </w:r>
            <w:r w:rsidRPr="008C613E">
              <w:rPr>
                <w:rFonts w:ascii="Tahoma" w:eastAsia="Times New Roman" w:hAnsi="Tahoma" w:cs="Tahoma"/>
                <w:b/>
                <w:bCs/>
                <w:color w:val="343434"/>
                <w:sz w:val="20"/>
                <w:szCs w:val="20"/>
                <w:lang w:eastAsia="ru-RU"/>
              </w:rPr>
              <w:t>1 миллион руб.</w:t>
            </w: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по несчастным случаям, произошедшим после 01.01.2014 года (п. 2 в ред. Федерального закона от 02.12. 2013 №331 – ФЗ)</w:t>
            </w:r>
          </w:p>
        </w:tc>
      </w:tr>
      <w:tr w:rsidR="008E046B" w:rsidRPr="008C613E" w:rsidTr="00F535D1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9.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 xml:space="preserve">Ежемесячная страховая выплата </w:t>
            </w:r>
            <w:proofErr w:type="gramStart"/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застрахованному</w:t>
            </w:r>
            <w:proofErr w:type="gramEnd"/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 xml:space="preserve"> либо лицам, имеющим право на получение таких выплат в случае его смерти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Определяется как доля среднего месячного заработка застрахованного, исчисленная в соответствии со степенью утраты им профессиональной трудоспособности. Максимальный размер ежемесячной страховой выплаты, исчисленный в соответствии со статьей 12 Федерального закона от 24 июля 1998 года № 125-ФЗ «Об обязательном социальном страховании от несчастных случаев на производстве и профессиональных заболеваний», в 2018 году  </w:t>
            </w:r>
            <w:r w:rsidRPr="008C613E">
              <w:rPr>
                <w:rFonts w:ascii="Tahoma" w:eastAsia="Times New Roman" w:hAnsi="Tahoma" w:cs="Tahoma"/>
                <w:b/>
                <w:bCs/>
                <w:color w:val="343434"/>
                <w:sz w:val="20"/>
                <w:szCs w:val="20"/>
                <w:lang w:eastAsia="ru-RU"/>
              </w:rPr>
              <w:t>не может превышать 74 097,66 руб.</w:t>
            </w:r>
          </w:p>
        </w:tc>
      </w:tr>
      <w:tr w:rsidR="008E046B" w:rsidRPr="008C613E" w:rsidTr="00F535D1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10.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Дополнительные расходы на медицинскую, социальную и профессиональную реабилитацию пострадавших:</w:t>
            </w:r>
          </w:p>
        </w:tc>
        <w:tc>
          <w:tcPr>
            <w:tcW w:w="555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</w:tc>
      </w:tr>
      <w:tr w:rsidR="008E046B" w:rsidRPr="008C613E" w:rsidTr="00F535D1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after="0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 xml:space="preserve">1) лечение </w:t>
            </w: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lastRenderedPageBreak/>
              <w:t>застрахованного лица,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</w:t>
            </w:r>
          </w:p>
        </w:tc>
        <w:tc>
          <w:tcPr>
            <w:tcW w:w="555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lastRenderedPageBreak/>
              <w:t xml:space="preserve">1) осуществляется на основании государственного </w:t>
            </w: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lastRenderedPageBreak/>
              <w:t>контракта, заключенного с ЛПУ. Оплата производится по счетам в соответствии с нормативами финансовых затрат. Необходимые металлоконструкции оплачиваются дополнительно.</w:t>
            </w:r>
          </w:p>
        </w:tc>
      </w:tr>
      <w:tr w:rsidR="008E046B" w:rsidRPr="008C613E" w:rsidTr="00F535D1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after="0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2) на приобретение лекарств, изделий медицинского назначения и индивидуального ухода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2) осуществляется путем возмещения денежных средств  застрахованному лицу по мере приобретения им лекарств и изделий медицинского назначения, указанных в ПРП, на основании рецепта, кассовых и товарных чеков аптечных учреждений в соответствии с государственным реестром предельных отпускных цен производителей на лекарственные препараты</w:t>
            </w:r>
          </w:p>
        </w:tc>
      </w:tr>
      <w:tr w:rsidR="008E046B" w:rsidRPr="008C613E" w:rsidTr="00F535D1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after="0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3) на посторонний специальный медицинский уход</w:t>
            </w:r>
          </w:p>
        </w:tc>
        <w:tc>
          <w:tcPr>
            <w:tcW w:w="555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3) на основании Программы реабилитации пострадавшего в </w:t>
            </w:r>
            <w:r w:rsidRPr="008C613E">
              <w:rPr>
                <w:rFonts w:ascii="Tahoma" w:eastAsia="Times New Roman" w:hAnsi="Tahoma" w:cs="Tahoma"/>
                <w:b/>
                <w:bCs/>
                <w:color w:val="343434"/>
                <w:sz w:val="20"/>
                <w:szCs w:val="20"/>
                <w:lang w:eastAsia="ru-RU"/>
              </w:rPr>
              <w:t>размере 900 рублей в месяц</w:t>
            </w:r>
          </w:p>
        </w:tc>
      </w:tr>
      <w:tr w:rsidR="008E046B" w:rsidRPr="008C613E" w:rsidTr="00F535D1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after="0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4) на постоянный бытовой уход</w:t>
            </w:r>
          </w:p>
        </w:tc>
        <w:tc>
          <w:tcPr>
            <w:tcW w:w="555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4) на основании Программы реабилитации пострадавшего </w:t>
            </w:r>
            <w:r w:rsidRPr="008C613E">
              <w:rPr>
                <w:rFonts w:ascii="Tahoma" w:eastAsia="Times New Roman" w:hAnsi="Tahoma" w:cs="Tahoma"/>
                <w:b/>
                <w:bCs/>
                <w:color w:val="343434"/>
                <w:sz w:val="20"/>
                <w:szCs w:val="20"/>
                <w:lang w:eastAsia="ru-RU"/>
              </w:rPr>
              <w:t>в размере 225 рублей в месяц</w:t>
            </w:r>
          </w:p>
        </w:tc>
      </w:tr>
      <w:tr w:rsidR="008E046B" w:rsidRPr="008C613E" w:rsidTr="00F535D1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after="0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5) на медицинскую реабилитацию застрахованного лица в организациях, оказывающих санаторно-курортные услуги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5) осуществляется путем оплаты расходов на лечение, проживание и питание застрахованного, а в случае необходимости – расходов на проживание  и питание сопровождающего его лица, на основании государственных контрактов, заключаемых страховщиком с организациями, определенными на конкурсной основе в установленном порядке</w:t>
            </w:r>
          </w:p>
        </w:tc>
      </w:tr>
      <w:tr w:rsidR="008E046B" w:rsidRPr="008C613E" w:rsidTr="00F535D1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after="0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6) на оплату отпуска (сверх ежегодного оплачиваемого отпуска, установленного законодательством Российской Федерации) застрахованного лица на весь период лечения и оплату проезда к месту лечения и обратно</w:t>
            </w:r>
          </w:p>
        </w:tc>
        <w:tc>
          <w:tcPr>
            <w:tcW w:w="555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6) в размере среднего заработка, исчисленного в порядке, установленном статьей 139 Трудового кодекса Российской Федерации для оплаты очередных отпусков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</w:tc>
      </w:tr>
      <w:tr w:rsidR="008E046B" w:rsidRPr="008C613E" w:rsidTr="00F535D1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after="0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 xml:space="preserve">7) на оплату расходов на изготовление и ремонт протезов, </w:t>
            </w: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lastRenderedPageBreak/>
              <w:t xml:space="preserve">протезно-ортопедических изделий, </w:t>
            </w:r>
            <w:proofErr w:type="spellStart"/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ортезов</w:t>
            </w:r>
            <w:proofErr w:type="spellEnd"/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, обеспечение техническими средствами реабилитации и их ремонт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proofErr w:type="gramStart"/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lastRenderedPageBreak/>
              <w:t xml:space="preserve">7) на основании государственных контрактов (договоров), заключаемых в соответствии с законодательством Российской Федерации о размещении </w:t>
            </w: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lastRenderedPageBreak/>
              <w:t>заказов на поставки товаров, выполнение работ, оказание услуг для государственных или муниципальных нужд с расположенными на территории Российской Федерации организациями (индивидуальными предпринимателями), имеющими лицензии на соответствующие виды деятельности.</w:t>
            </w:r>
            <w:proofErr w:type="gramEnd"/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 xml:space="preserve"> А также компенсации самостоятельно произведенных расходов, на основании установленного перечня документов.</w:t>
            </w:r>
          </w:p>
        </w:tc>
      </w:tr>
      <w:tr w:rsidR="008E046B" w:rsidRPr="008C613E" w:rsidTr="00F535D1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after="0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8) на обеспечение транспортным средством (автомобилем необходимой модификации)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 xml:space="preserve">8) осуществляется страховщиком с учетом затрат на транспортировку, хранение и предпродажную подготовку в порядке и на условиях, установленных в Российской Федерации для бесплатного обеспечения инвалидов, на основании трехсторонних договоров между страховщиком, производителем (поставщиком) транспортного средства и застрахованным лицом о приобретении застрахованным лицом транспортного средства и оплате его стоимости страховщиком. Отбор производителей (поставщиков) транспортных средств осуществляется страховщиком  в установленном порядке. В случае самостоятельного приобретения пострадавшим транспортного средства страховщик возмещает ему понесенные расходы в размере фактической стоимости приобретенного транспортного средства, но не выше стоимости транспортного средства, которое должно быть предоставлено пострадавшему. Оплата расходов на обеспечение транспортным средством осуществляется страховщиком не чаще 1 раза в 7 лет на основании решения бюро </w:t>
            </w:r>
            <w:proofErr w:type="gramStart"/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 xml:space="preserve"> экспертизы о наличии у пострадавшего медицинских показаний для получения транспортного средства и отсутствия противопоказаний к его вождению</w:t>
            </w:r>
          </w:p>
        </w:tc>
      </w:tr>
      <w:tr w:rsidR="008E046B" w:rsidRPr="008C613E" w:rsidTr="00F535D1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after="0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9) на текущий ремонт транспортного средства и горюче-смазочные материалы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9) осуществляется путем выплаты застрахованному лицу, имеющему транспортное средство и не имеющему противопоказаний к его вождению, ежегодно равными частями ежеквартально денежной компенсации в размере </w:t>
            </w:r>
            <w:r w:rsidRPr="008C613E">
              <w:rPr>
                <w:rFonts w:ascii="Tahoma" w:eastAsia="Times New Roman" w:hAnsi="Tahoma" w:cs="Tahoma"/>
                <w:b/>
                <w:bCs/>
                <w:color w:val="343434"/>
                <w:sz w:val="20"/>
                <w:szCs w:val="20"/>
                <w:lang w:eastAsia="ru-RU"/>
              </w:rPr>
              <w:t>835 рублей в год</w:t>
            </w:r>
          </w:p>
        </w:tc>
      </w:tr>
      <w:tr w:rsidR="008E046B" w:rsidRPr="008C613E" w:rsidTr="00F535D1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after="0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10) на капитальный ремонт транспортного средства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10) по фактической его стоимости, но не более 30 процентов стоимости автомобиля, определяемой исходя из фактически сложившихся цен в соответствующем субъекте Российской Федерации на дату проведения ремонта. Производится 1 раз в течение установленного срока эксплуатации (7 лет)</w:t>
            </w:r>
          </w:p>
        </w:tc>
      </w:tr>
      <w:tr w:rsidR="008E046B" w:rsidRPr="008C613E" w:rsidTr="00F535D1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after="0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11) профессиональное обучение (переобучение)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proofErr w:type="gramStart"/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11) в соответствии с договорами, заключаемыми страховщиком в пользу застрахованного лица с расположенными на территории Российской Федерации образовательными учреждениями (организациями) профессионального и дополнительного образования, имеющими лицензию на осуществление образовательной деятельности и прошедшими аккредитацию в установленном порядке</w:t>
            </w:r>
            <w:proofErr w:type="gramEnd"/>
          </w:p>
        </w:tc>
      </w:tr>
      <w:tr w:rsidR="008E046B" w:rsidRPr="008C613E" w:rsidTr="00F535D1">
        <w:tc>
          <w:tcPr>
            <w:tcW w:w="51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after="0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b/>
                <w:bCs/>
                <w:i/>
                <w:iCs/>
                <w:color w:val="343434"/>
                <w:sz w:val="20"/>
                <w:szCs w:val="20"/>
                <w:lang w:eastAsia="ru-RU"/>
              </w:rPr>
              <w:t>12) оплата расходов на проезд застрахованного лица для получения отдельных видов медицинской и социальной реабилитации, а в случае необходимости и на проезд сопровождающего его лица</w:t>
            </w:r>
          </w:p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6" w:type="dxa"/>
            <w:tcBorders>
              <w:top w:val="outset" w:sz="2" w:space="0" w:color="auto"/>
              <w:left w:val="outset" w:sz="2" w:space="0" w:color="auto"/>
              <w:bottom w:val="dashed" w:sz="6" w:space="0" w:color="C0C0C0"/>
              <w:right w:val="outset" w:sz="2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8E046B" w:rsidRPr="008C613E" w:rsidRDefault="008E046B" w:rsidP="00F535D1">
            <w:pPr>
              <w:spacing w:before="75" w:after="75" w:line="240" w:lineRule="auto"/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</w:pPr>
            <w:r w:rsidRPr="008C613E">
              <w:rPr>
                <w:rFonts w:ascii="Tahoma" w:eastAsia="Times New Roman" w:hAnsi="Tahoma" w:cs="Tahoma"/>
                <w:color w:val="343434"/>
                <w:sz w:val="20"/>
                <w:szCs w:val="20"/>
                <w:lang w:eastAsia="ru-RU"/>
              </w:rPr>
              <w:t>12) производится путем возмещения застрахованному лицу фактически произведенных расходов, подтвержденных проездными документами, а в случаях, установленных Положением, также иными документа</w:t>
            </w:r>
          </w:p>
        </w:tc>
      </w:tr>
    </w:tbl>
    <w:p w:rsidR="008E046B" w:rsidRDefault="008E046B" w:rsidP="008E046B"/>
    <w:p w:rsidR="008E046B" w:rsidRDefault="008E046B" w:rsidP="008E046B"/>
    <w:p w:rsidR="00B6051D" w:rsidRDefault="00B6051D"/>
    <w:sectPr w:rsidR="00B6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00"/>
    <w:rsid w:val="008E046B"/>
    <w:rsid w:val="00974600"/>
    <w:rsid w:val="00B6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2</cp:revision>
  <dcterms:created xsi:type="dcterms:W3CDTF">2019-02-05T07:39:00Z</dcterms:created>
  <dcterms:modified xsi:type="dcterms:W3CDTF">2019-02-05T07:40:00Z</dcterms:modified>
</cp:coreProperties>
</file>